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5" w:rsidRDefault="0042686B" w:rsidP="007B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6B">
        <w:rPr>
          <w:rFonts w:ascii="Times New Roman" w:hAnsi="Times New Roman" w:cs="Times New Roman"/>
          <w:b/>
          <w:bCs/>
          <w:sz w:val="24"/>
          <w:szCs w:val="24"/>
        </w:rPr>
        <w:t>Занятие 5</w:t>
      </w:r>
      <w:r w:rsidR="000A18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68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8F1">
        <w:rPr>
          <w:rFonts w:ascii="Times New Roman" w:hAnsi="Times New Roman" w:cs="Times New Roman"/>
          <w:b/>
          <w:bCs/>
          <w:sz w:val="24"/>
          <w:szCs w:val="24"/>
        </w:rPr>
        <w:t>Русское литературное зарубежье 1920-1990-х годов</w:t>
      </w:r>
    </w:p>
    <w:p w:rsidR="00287E5A" w:rsidRDefault="00287E5A" w:rsidP="00287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591" w:rsidRPr="00913591" w:rsidRDefault="00E85D87" w:rsidP="0091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="0028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13591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обучающимся масштабы и значимость культурного наследия русского зарубежья;</w:t>
      </w:r>
      <w:r w:rsid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3591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чувство любви, преданности своей Родине на примере трагических судеб представителей русской эмиграции, которые до конца своих дней оставались верны России, её культуре и народу.</w:t>
      </w:r>
      <w:proofErr w:type="gramEnd"/>
    </w:p>
    <w:p w:rsidR="00E85D87" w:rsidRDefault="00E85D87" w:rsidP="00287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D87" w:rsidRDefault="00E85D87" w:rsidP="00E85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C06E35" w:rsidRPr="00913591" w:rsidRDefault="00287E5A" w:rsidP="00C0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Изучение </w:t>
      </w:r>
      <w:r w:rsidR="00DC14E9">
        <w:rPr>
          <w:rFonts w:ascii="Times New Roman" w:hAnsi="Times New Roman" w:cs="Times New Roman"/>
          <w:b/>
          <w:bCs/>
          <w:sz w:val="24"/>
          <w:szCs w:val="24"/>
        </w:rPr>
        <w:t>нового материала</w:t>
      </w:r>
      <w:r w:rsidR="00C06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(Материал взят из книг:</w:t>
      </w:r>
      <w:proofErr w:type="gram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И.Одоевцева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 На берегах Невы. ООО Издательство «АСТ Москва».</w:t>
      </w:r>
      <w:proofErr w:type="gram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2009г.;</w:t>
      </w:r>
      <w:proofErr w:type="gram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И.Одоевцева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берегах Сены. Изд. «Азбука-классика» 2006г.; Г.Кузнецова. 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Грасский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дневник. ООО «Издательский дом «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gram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ръ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2009г.; сайт: 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history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Rin.ru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&gt;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text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tree</w:t>
      </w:r>
      <w:proofErr w:type="spellEnd"/>
      <w:r w:rsidR="00C06E35"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/2368.html)</w:t>
      </w:r>
      <w:proofErr w:type="gramEnd"/>
    </w:p>
    <w:p w:rsidR="00E85D87" w:rsidRPr="00C06E35" w:rsidRDefault="00E85D87" w:rsidP="00C06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591" w:rsidRPr="00913591" w:rsidRDefault="00DC14E9" w:rsidP="00DC14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14E9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C14E9">
        <w:rPr>
          <w:rFonts w:ascii="Times New Roman" w:hAnsi="Times New Roman" w:cs="Times New Roman"/>
          <w:bCs/>
          <w:i/>
          <w:sz w:val="24"/>
          <w:szCs w:val="24"/>
        </w:rPr>
        <w:t xml:space="preserve">познакомьтесь с </w:t>
      </w:r>
      <w:r w:rsidR="00913591">
        <w:rPr>
          <w:rFonts w:ascii="Times New Roman" w:hAnsi="Times New Roman" w:cs="Times New Roman"/>
          <w:bCs/>
          <w:i/>
          <w:sz w:val="24"/>
          <w:szCs w:val="24"/>
        </w:rPr>
        <w:t>лекцией</w:t>
      </w:r>
      <w:r w:rsidRPr="00DC14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13591">
        <w:rPr>
          <w:rFonts w:ascii="Times New Roman" w:hAnsi="Times New Roman" w:cs="Times New Roman"/>
          <w:bCs/>
          <w:i/>
          <w:sz w:val="24"/>
          <w:szCs w:val="24"/>
          <w:u w:val="single"/>
        </w:rPr>
        <w:t>письменно ответьте на вопросы:</w:t>
      </w:r>
    </w:p>
    <w:p w:rsidR="00C06E35" w:rsidRPr="007B635F" w:rsidRDefault="00C06E35" w:rsidP="00C06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означает термин  «Литература русского зарубежья»?</w:t>
      </w:r>
    </w:p>
    <w:p w:rsidR="00C06E35" w:rsidRPr="007B635F" w:rsidRDefault="00C06E35" w:rsidP="00C06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2. Сколько периодов русской эмигрантской литературы выделяют? Напишите даты  этих периодов.</w:t>
      </w:r>
    </w:p>
    <w:p w:rsidR="00C06E35" w:rsidRPr="007B635F" w:rsidRDefault="00C06E35" w:rsidP="00C06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3. С какого года начинается расцвет русской зарубежной литературы? Какие книги создаются?</w:t>
      </w:r>
    </w:p>
    <w:p w:rsidR="00C06E35" w:rsidRPr="007B635F" w:rsidRDefault="00C06E35" w:rsidP="00C06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5383"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Назови имена писателей и </w:t>
      </w:r>
      <w:proofErr w:type="gramStart"/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поэтов</w:t>
      </w:r>
      <w:proofErr w:type="gramEnd"/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эмигрировавших за границу?</w:t>
      </w:r>
    </w:p>
    <w:p w:rsidR="00C06E35" w:rsidRPr="007B635F" w:rsidRDefault="00965383" w:rsidP="00C06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C06E35"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Каких взглядов в литературе придерживались писатели и поэты старшего          поколения? В чем выражается эстетический консерватизм «старших»? </w:t>
      </w:r>
    </w:p>
    <w:p w:rsidR="009454DB" w:rsidRPr="007B635F" w:rsidRDefault="00965383" w:rsidP="009454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C06E35"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. Кого называли «незамеченным поколением»?</w:t>
      </w:r>
    </w:p>
    <w:p w:rsidR="009454DB" w:rsidRPr="007B635F" w:rsidRDefault="00965383" w:rsidP="009454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9454DB"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454DB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Назови основной мотив произведений писателей младшего поколения    </w:t>
      </w:r>
      <w:r w:rsidR="009454DB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     эмигрантов?</w:t>
      </w:r>
    </w:p>
    <w:p w:rsidR="009454DB" w:rsidRPr="007B635F" w:rsidRDefault="00965383" w:rsidP="009454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</w:t>
      </w:r>
      <w:r w:rsidR="009454DB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Какие формы нехудожественной литературы привнесли в русскую </w:t>
      </w:r>
      <w:r w:rsidR="009454DB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     литературу писатели-эмигранты?</w:t>
      </w:r>
    </w:p>
    <w:p w:rsidR="00965383" w:rsidRPr="007B635F" w:rsidRDefault="00965383" w:rsidP="009454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</w:t>
      </w:r>
      <w:r w:rsidR="009454DB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Объясни термин «промежуточное положение» некоторых </w:t>
      </w: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поэтов. Назови этих поэтов.</w:t>
      </w:r>
    </w:p>
    <w:p w:rsidR="00965383" w:rsidRPr="007B635F" w:rsidRDefault="00965383" w:rsidP="007B63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B6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Назови центры рассеяния русской эмиграции? </w:t>
      </w: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Закончи фразу: В эмиграции      Бер</w:t>
      </w:r>
      <w:r w:rsid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лин был -…</w:t>
      </w:r>
      <w:proofErr w:type="gramStart"/>
      <w:r w:rsid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,</w:t>
      </w:r>
      <w:proofErr w:type="gramEnd"/>
      <w:r w:rsid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Прага -…</w:t>
      </w:r>
      <w:r w:rsid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, </w:t>
      </w: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7B635F"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Париж - …</w:t>
      </w:r>
      <w:r w:rsidRP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</w:t>
      </w:r>
      <w:r w:rsidR="007B63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</w:t>
      </w:r>
    </w:p>
    <w:p w:rsidR="00913591" w:rsidRDefault="00913591" w:rsidP="0091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6E35" w:rsidRDefault="00C06E35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 Русского Зарубежья – ветвь русской литературы, возникшей после 1917 года и издававшейся вне СССР и России.</w:t>
      </w:r>
    </w:p>
    <w:p w:rsidR="00C06E35" w:rsidRDefault="00C06E35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Различают </w:t>
      </w:r>
      <w:r w:rsidRPr="00C0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три периода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 </w:t>
      </w:r>
      <w:r w:rsidRPr="00C0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три волны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русской эмигрантской литературы.</w:t>
      </w:r>
    </w:p>
    <w:p w:rsidR="00C06E35" w:rsidRDefault="00C06E35" w:rsidP="00C0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Первая волна –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с 1918 до начала</w:t>
      </w:r>
      <w:proofErr w:type="gramStart"/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 мировой войны – носила массовый характер.</w:t>
      </w:r>
    </w:p>
    <w:p w:rsidR="00C06E35" w:rsidRDefault="00C06E35" w:rsidP="00C0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Вторая волна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возникла в конце</w:t>
      </w:r>
      <w:proofErr w:type="gramStart"/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мировой войны.</w:t>
      </w:r>
    </w:p>
    <w:p w:rsidR="00C06E35" w:rsidRPr="00C06E35" w:rsidRDefault="00C06E35" w:rsidP="00C0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Третья волна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началась после хрущевской «оттепели» и вынесла за пределы России крупнейших писателей (А. Солженицын, И.Бродский, С.Довлатов).</w:t>
      </w:r>
    </w:p>
    <w:p w:rsidR="00C06E35" w:rsidRPr="00C06E35" w:rsidRDefault="00C06E35" w:rsidP="00C0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культурное и литературное значение имеет творчество писателей </w:t>
      </w:r>
      <w:r w:rsidRPr="00C06E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первой волны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русской эмиграции.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"</w:t>
      </w:r>
      <w:r w:rsidRPr="0091359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русское зарубежье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 возникло и оформилось после октябрьского переворота, когда Россию массово начали покидать беженцы. Эмиграция существовала и в царской России (так первым русским писателем-эмигрантом считают Андрея Курбского, жившего в 16 в.), но не носила такого масштабного характера. После 1917 из России выехало около 2-х миллионов человек. В центрах рассеяния - Берлине, Париже, Харбине - была сформирована "Россия в миниатюре", сохранившая все черты русского общества.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рубежом выходили русские газеты и журналы, были открыты школы и университеты, действовала Русская Православная Церковь. Но, несмотря на сохранение первой волной эмиграции всех особенностей русского дореволюционного общества, положение беженцев было трагическим: в прошлом - потеря семьи, родины, социального 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статуса, рухнувший в небытие уклад, в настоящем - жестокая необходимость вживаться в чуждую действительность. Надежда на скорое возвращение не оправдалась,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 середине 20-х годов стало очевидно, что России не вернуть и в Россию не вернуться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Боль ностальгии сопровождалась необходимостью тяжелого физического труда, бытовой неустроенностью: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большинство эмигрантов вынуждено было завербоваться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заводы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Рено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 или, что считалось более привилегированным, освоить профессию таксиста.</w:t>
      </w:r>
    </w:p>
    <w:p w:rsidR="00913591" w:rsidRPr="0055766C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Россию покинул цвет русской интеллигенции. Больше половины философов, писателей, художников были высланы из страны или эмигрировали на всю жизнь. За пределами родины оказались религиозные философы Н.Бердяев, С.Булгаков,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Н.Лосский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Л.Шестов,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Л.Карсавин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Эмигрантами стали Ф.Шаляпин, И.Репин, К.Коровин, известные актеры М.Чехов 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И.Мозжухин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звезды балета Анна Павлова,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Вацлав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Нижинский, композиторы С.Рахманинов и И.Стравинский. Из числа известных писателей эмигрировали: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Ив.Шмелев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А.Аверченко, К.Бальмонт, З.Гиппиус,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Дон-Аминадо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Б.Зайцев, А.Куприн, А.Ремизов, И.Северянин, А.Толстой, Тэффи, И.Шмелев, Саша Черный. Выехали за границу и молодые литераторы: М.Цветаева,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М.Алданов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Г.Адамович, Г.Иванов, В.Ходасевич. Русская литература, откликнувшаяся на события революции и гражданской войны, запечатлевшая рухнувший в небытие дореволюционный уклад, оказывалась в эмиграции одним из духовных оплотов нации. </w:t>
      </w:r>
      <w:r w:rsidRPr="005576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Национальным праздником русской эмиграции стал день рождения Пушкина.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 же время, в эмиграции литература была поставлена в неблагоприятные условия: отсутствие читателей, крушение социально-психологических устоев, бесприютность, нужда большинства писателей должны были неизбежно подорвать силы русской культуры. Но этого не произошло: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 1927 начинается расцвет русской зарубежной литературы, на русском языке создаются великие книги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1930 Бунин писал: "Упадка за последнее десятилетие, на мой взгляд, не произошло.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Из видных писателей, как зарубежных, так и "советских", ни один, кажется, не утратил своего таланта, напротив, почти все окрепли, выросли.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А, кроме того, здесь, за рубежом, появилось и несколько новых талантов, бесспорных по своим художественным качествам и весьма интересных в смысле влияния на них современности".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Утратив близких, родину, всякую опору в бытии,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поддержку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 бы то ни было, изгнанники из России получили взамен право творческой свободы - возможность говорить, писать, публиковать созданное без оглядки на тоталитарный режим, политическую цензуру. Это, однако, не свело литературный процесс к идеологическим спорам. Атмосферу эмигрантской литературы определяла не политическая или гражданская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неподотчетность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спасшихся от террора писателей, а многообразие свободных творческих поисков.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русской литературы в изгнании шло по разным направлениям: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писатели старшего поколения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исповедовали позицию "сохранения заветов",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самоценность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трагического опыта эмиграции признавалась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</w:rPr>
        <w:t>младшим поколением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(поэзия Г.Иванова, "парижской ноты"), появились писатели, ориентированные на западную традицию (В.Набоков,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"Мы не в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изгнаньи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мы в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посланьи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", - формулировал "мессианскую" позицию "старших" Д.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Мережковский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"Отдать себе отчет в том, что в России или в эмиграции, в Берлине или на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Монпарнасе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, человеческая жизнь продолжается, жизнь с большой буквы, по-западному, с искренним уважением к ней, как средоточию всего содержания, всей глубины жизни вообще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:"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 такой представлялась задача литератора писателю младшего поколения Б.Поплавскому. "Следует ли напоминать еще один раз, что культура и искусство суть понятия динамические", - подвергал сомнению ностальгическую традицию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E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Старшее поколение писателей-эмигрантов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Стремление "удержать то действительно ценное, что одухотворяло прошлое" (Г.Адамович) - в основе творчества писателей старшего поколения, успевших войти в литературу и составить себе имя еще в дореволюционной России. </w:t>
      </w:r>
      <w:r w:rsidRPr="00C06E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 старшему поколению писателей относят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Ив.Шмелева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А.Ремизова, А.Куприна, З.Гиппиус, Д.Мережковского, М.Осоргина. Литература "старших" представлена преимущественно прозой. В изгнании прозаиками старшего поколения создаются великие книги: "Жизнь Арсеньева" (Нобелевская премия 1933), "Темные аллеи"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"Солнце мертвых", "Лето Господне", "Богомолье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Ив.Шмелева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";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Сивцев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Вражек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М.Осоргина; "Путешествие Глеба", "Преподобный Сергий Радонежский" Б.Зайцева; "Иисус Неизвестный" Д.Мережковского. А.Куприн выпускает два романа "Купол святого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Исаакия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Далматского и Юнкера", повесть "Колесо времени". Значительным литературным событием становится появление книги воспоминаний "Живые лица" З.Гиппиус.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поэтов, чье творчество сложилось в России, за границу выехали И.Северянин, С.Черный,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Д.Бурлюк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К.Бальмонт, З.Гиппиус,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Вяч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историю русской поэзии в изгнании они внесли незначительную лепту, уступив пальму первенства молодым поэтам - Г.Иванову, Г.Адамовичу, В.Ходасевичу, М.Цветаевой, Б.Поплавскому, А.Штейгеру и др. </w:t>
      </w:r>
      <w:r w:rsidRPr="00C06E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Главным мотивом литературы старшего поколения стал мотив ностальгической памяти об утраченной родине.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Трагедии изгнанничества противостояло громадное наследие русской культуры, мифологизированное и поэтизированное прошедшее. </w:t>
      </w:r>
      <w:r w:rsidRPr="00C06E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Темы, к которым наиболее часто обращаются прозаики старшего поколения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ретроспективны: </w:t>
      </w:r>
      <w:r w:rsidRPr="00C06E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тоска по "вечной России", события революции и гражданской войны, историческое прошедшее, воспоминания о детстве и юности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Смысл обращения к "вечной России" получили биографии писателей, композиторов, жизнеописания святых: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пишет о Толстом (Освобождение Толстого), М.Цветаева - о Пушкине (Мой Пушкин), В.Ходасевич - о Державине (Державин), Б.Зайцев - о Жуковском, Тургеневе, Чехове, Сергии Радонежском (одноименные биографии),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М.Цетлин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декабристах и могучей кучке (Декабристы: судьба одного поколения, Пятеро и другие). Создаются автобиографические книги, в которых мир детства и юности, еще не затронутый великой катастрофой, видится "с другого берега" идиллическим, просветленным: поэтизирует прошлое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.Ш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мелев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(Богомолье, Лето Господне), события юности реконструирует А.Куприн (Юнкера), последнюю автобиографическую книгу русского писателя-дворянина пишет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Ив.Бунин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(Жизнь Арсеньева), путешествие к "истокам дней" запечатлевают Б.Зайцев (Путешествие Глеба) и А.Толстой (Детство Никиты). Особый пласт русской эмигрантской литературы составляют произведения, в которых дается оценка трагическим событиям революции и гражданской войны.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События гражданской войны и революции перемежаются со снами, видениями, уводящими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 глубь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народного сознания, русского духа в книгах А.Ремизова "Взвихренная Русь", "Учитель музыки", "Сквозь огнь скорбей". Скорбной обличительностью насыщены дневники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"Окаянные дни". Роман М.Осоргина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Сивцев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Вражек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отражает жизнь Москвы в военные и предвоенные годы, во время революции.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.Ш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мелев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создает трагическое повествование о красном терроре в Крыму - эпопею "Солнце мертвых", которую Т.Манн назвал "кошмарным, окутанным в поэтический блеск документом эпохи". Осмыслению причин революции посвящен "Ледяной поход" Р.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Гуля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"Зверь из бездны"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Е.Чирикова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исторические романы примкнувшего к писателям старшего поколения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М.Алданова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(Ключ, Бегство, Пещера), трехтомный Распутин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В.Наживина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Сополагая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"вчерашнее" и "нынешнее", старшее поколение делало выбор в пользу утраченного культурного мира старой России, не признавая необходимости вживаться в новую действительность эмиграции. Это обусловило и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эстетический консерватизм "старших"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: "Пора бросить идти по следам Толстого? - недоумевал Бунин. - А по чьим следам надо идти?".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Младшее поколение писателей в эмиграции.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Иной позиции придерживалось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младшее "незамеченное поколение"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(термин писателя, литературного критика В.Варшавского), зависимое от иной социальной и духовной среды, отказавшееся от реконструкции безнадежно утраченного.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454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 "незамеченному поколению" принадлежали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молодые писатели, не успевшие создать себе прочную литературную репутацию в России: В.Набоков,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М.Алданов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М.Агеев, Б.Поплавский, Н.Берберова, А.Штейгер, Д.Кнут,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И.Кнорринг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Л.Червинская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В.Смоленский,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И.Одоевцева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Н.Оцуп, И.Голенищев-Кутузов, Ю.Мандельштам,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Ю.Терапиано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 Их судьба сложилась различно. В.Набоков 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завоевали общеевропейскую, в случае Набокова, даже мировую славу.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М.Алданов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начавший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активно печатать исторические романы в самом известном эмигрантском журнале "Современные записки", примкнул к "старшим".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драматична судьба погибшего при загадочным обстоятельствах Б.Поплавского, рано умерших А.Штейгера,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И.Кнорринг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Практически никто из младшего поколения писателей не мог заработать литературным трудом: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 таксистом, Д.Кнут развозил товары,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Ю.Терапиано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служил в фармацевтической фирме, многие перебивались грошовым приработком. Характеризуя положения "незамеченного поколения", обитавшего в мелких дешевых кафе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, В.Ходасевич писал: "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Отчаяние, владеющее душами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питается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поддерживается оскорблениями и нищетой: За столиками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сидят люди, из которых многие днем не обедали, а вечером затрудняются спросить себе чашку кофе. На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Монпарнасе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порой сидят до утра потому, что ночевать негде. Нищета деформирует и само творчество".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остро и драматично тяготы, выпавшие на долю "незамеченного поколения", отразились в бескрасочной поэзии "парижской ноты", созданной Г.Адамовичем.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Предельно исповедальная, метафизическая и безнадежная "парижская нота" звучит в сборниках Б.Поплавского (Флаги), Н.Оцупа (В дыму), А.Штейгера (Эта жизнь, Дважды два - четыре),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Л.Червинской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(Приближение), В.Смоленского (Наедине), Д.Кнута (Парижские ночи),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А.Присмановой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(Тень и тело),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И.Кнорринг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(Стихи о себе).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старшее поколение вдохновлялось ностальгическими мотивами, то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младшее оставило документы русской души в изгнании, изобразив действительность эмиграции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Жизнь "русского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запечатлена в романах Б.Поплавского "Аполлон Безобразов", "Домой с небес". Немалой популярностью пользовался и "Роман с кокаином" М.Агеева (псевдоним М.Леви). Широкое распространение приобрела и бытовая проза: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И.Одоевцева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"Ангел смерти", "Изольда", "Зеркало", Н.Берберова "Последние и первые". Роман из эмигрантской жизни.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Первый исследователь эмигрантской литературы Г.Струве писал: "Едва ли не самым ценным вкладом писателей в общую сокровищницу русской литературы должны будут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признаны разные формы нехудожественной литературы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критика, эссеистика, философская проза, высокая публицистика и мемуарная проза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". Младшее поколение писателей внесло значительный вклад в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мемуаристику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В.Набоков "Другие берега", Н.Берберова "Курсив мой",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Ю.Терапиано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"Встречи", В.Варшавский "Незамеченное поколение", В.Яновский "Поля Елисейские",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И.Одоевцева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"На берегах Невы", "На берегах Сены", Г.Кузнецова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Грасский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дневник".</w:t>
      </w:r>
      <w:proofErr w:type="gramEnd"/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В.Набоков и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принадлежали к "незамеченному поколению", но не разделили его судьбы, не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усвоив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богемно-нищенского образа жизни "русских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ни их безнадежного мироощущения. Их объединяло стремление найти альтернативу отчаянию, изгнаннической неприкаянности, не участвуя при этом в круговой поруке воспоминаний, характерной для "старших". Медитативная проза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технически остроумная и беллетристически элегантная была обращена к парижской действительности 20 - 60-х годов. В основе мироощущения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Газданова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философия жизни как сопротивления и выживания.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первом, в значительной степени автобиографическом романе "Вечер у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Клэр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давал своеобразный поворот традиционной для эмигрантской литературы теме ностальгии, заменяя тоску по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утраченному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реальным воплощением "прекрасного сна". В романах "Ночные дороги", "Призрак Александра Вольфа", "Возвращение Будды" спокойному отчаянию "незамеченного поколения"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противопоставил 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героический стоицизм, веру в духовные силы личности, в ее способность к преображению.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Своеобразно преломился опыт русского эмигранта и в первом романе В.Набокова "Машенька", в котором путешествие к глубинам памяти, к "восхитительно точной России" высвобождало героя из плена унылого существования. Блистательных персонажей, героев-победителей, одержавших победу в сложных, а подчас и драматичных, жизненных ситуациях, Набоков изображает в своих романах "Приглашение на казнь", "Дар", "Ада", "Подвиг". Торжество сознания над драматическими и убогими обстоятельствами жизни - таков пафос творчества Набокова, скрывавшийся за игровой доктриной и декларативным эстетизмом.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эмиграции Набоков также создает: сборник рассказов "Весна в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Фиальте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", мировой бестселлер "Лолита", романы "Отчаяние", "Камера обскура", "Король, дама, валет", "Посмотри на арлекинов", "Пнин", "Бледное пламя" и др.</w:t>
      </w:r>
      <w:proofErr w:type="gramEnd"/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промежуточном положении между "старшими" и "младшими" оказались поэты, издавшие свои первые сборники до революции и довольно уверенно заявившие о себе еще в России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В.Ходасевич, Г.Иванов, М.Цветаева, Г.Адамович. В эмигрантской поэзии они стоят особняком. М.Цветаева в эмиграции переживает творческий взлет, обращается к жанру поэмы, "монументальному" стиху. В Чехии, а затем во Франции ей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написаны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"Царь-девица", "Поэма Горы", "Поэма Конца", "Поэма воздуха", "Крысолов", "Лестница", "Новогоднее", "Попытка комнаты".</w:t>
      </w:r>
      <w:proofErr w:type="gramEnd"/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В.Ходасевич издает в эмиграции вершинные свои сборники "Тяжелая лира", "Европейская ночь", становится наставником молодых поэтов, объединившихся в группу "Перекресток". Г.Иванов, пережив легковесность ранних сборников, получает статус первого поэта эмиграции, выпускает поэтические книги, зачисленные в золотой фонд русской поэзии: "Стихи", "Портрет без сходства", "Посмертный дневник". Особое место в литературном наследии эмиграции занимают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квазимемуары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Г.Иванова "Петербургские зимы", "Китайские тени", его скандально известная поэма в прозе "Распад атома". Г.Адамович публикует программный сборник "Единство", известную книгу эссе "Комментарии".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Центры рассеяния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Основными центрами рассеяния русской эмиграции явились Константинополь, София, Прага, Берлин, Париж, Харбин. Первым местом беженства стал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Константинополь - очаг русской культуры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начале 20-х годов. Здесь оказались бежавшие с Врангелем из Крыма русские белогвардейцы, которые затем рассеялись по Европе. В Константинополе в течение нескольких месяцев издавался еженедельник "Зарницы", выступал А.Вертинский. Значительная русская колония возникла и в Софии, где выходил журнал "Русская мысль". В начале 20-х годов литературной столицей русской эмиграции стал Берлин. Русская диаспора в Берлине до прихода к власти Гитлера составляла 150 тысяч человек.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1918 по 1928 в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Берлине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было зарегистрировано </w:t>
      </w:r>
      <w:r w:rsidRPr="00945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188 русских издательств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большими тиражами печаталась русская классика - Пушкин, Толстой, произведения современных авторов -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А.Ремизова, Н.Берберовой, М.Цветаевой, был восстановлен Дом искусств (по подобию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петроградского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образовалось содружество писателей, музыкантов, художников "Веретено", работала "Академия прозы". Существенная особенность русского Берлина - диалог двух ветвей культуры - зарубежной и оставшейся в России. В Германию выезжают многие советские писатели: М.Горький, В.Маяковский, Ю.Тынянов, К.Федин. "Для нас нет в области книги разделения на Советскую Россию и эмиграцию", - декларировал берлинский журнал "Русская книга". Когда надежда на скорое возвращение в Россию 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стала угасать и в Германии начался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экономический кризис, центр эмиграции переместился в </w:t>
      </w:r>
      <w:r w:rsidRPr="009653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Париж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 середины 20-х годов - столицу русского зарубежья.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1923 в Париже обосновались 300 тысяч русских беженцев. В Париже живут: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А.Куприн, А.Ремизов, З.Гиппиус, Д.Мережковский, В.Ходасевич, Г.Иванов, Г.Адамович,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Б.Поплавский, М.Цветаева и др. </w:t>
      </w:r>
      <w:r w:rsidRPr="009653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 Парижем связана </w:t>
      </w:r>
      <w:r w:rsidRPr="009653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деятельность основных литературных кружков и групп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, ведущую позицию среди которых занимала "Зеленая лампа". "Зеленая лампа" была организована в Париже З.Гиппиус и Д.Мережковским, во главе общества встал Г.Иванов. На заседании "Зеленой лампы" обсуждались новые книги, журналы, речь шла о русских литераторах старшего поколения. "Зеленая лампа" объединяла "старших" и "младших", в течение всех предвоенных лет была наиболее оживленным литературным центром Парижа.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Молодые парижские литераторы объединились в группу "Кочевье", основанную ученым-филологом и критиком М.Слонимом. С 1923 по 1924 в Париже собиралась также группа поэтов и художников "Через". Парижские эмигрантские газеты и журналы представляли собой летопись культурной и литературной жизни русского зарубежья. В дешевых кафе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Монпарнаса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разворачивались литературные дискуссии, создавалась новая школа эмигрантской поэзии, известная как "парижская нота". Литературная жизнь Парижа сойдет на нет с началом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мировой войны, когда, по словам В.Набокова, "станет на русском Парнасе темно". Русские писатели-эмигранты останутся верны приютившей их стране, оккупированному Парижу.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Термин "Сопротивление" возникнет и приживется в среде русских эмигрантов, многие из которых окажутся его активными участниками. Г.Адамович запишется добровольцем на фронт. Писательница З.Шаховская станет сестрой в военном госпитале. Мать Мария (поэтесса Е.Кузьмина-Караваева) погибнет в немецком концлагере, расточая духовную помощь и поддержку,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Г.Газданов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Н.Оцуп, Д.Кнут примкнут к Сопротивлению.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proofErr w:type="gram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унин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горькие годы оккупации напишет книгу о торжестве любви, человеческого начала (Темные аллеи).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3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Восточные центры рассеяния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9653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Харбин и Шанхай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Молодой поэт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А.Ачаир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организует в Харбине литературное объединение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Чураевка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". Собрания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Чураевки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 включали до 1000 человек. За годы существования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Чураевки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в Харбине было выпущено более 60 поэтических сборников русских поэтов. В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харбинском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журнале "Рубеж" печатались поэты А.Несмелов,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В.Перелешин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М.Колосова. Существенное направление 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харбинской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ветви русской словесности составит этнографическая проза (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Н.Байков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"В дебрях Маньчжурии", "Великий Ван", "По белу свету"). С 1942 литературная жизнь сместится из Харбина в Шанхай. </w:t>
      </w:r>
      <w:r w:rsidRPr="009653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Научным центром русской эмиграции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долгое время была </w:t>
      </w:r>
      <w:r w:rsidRPr="009653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Прага</w:t>
      </w: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В Праге был основан Русский народный университет, приглашено 5 тысяч русских студентов, которые могли продолжить образование на казенном коште. Сюда же перебрались многие профессора и преподаватели вузов. Важную роль в сохранении славянской культуры, развитии науки сыграл "Пражский лингвистический кружок". С Прагой связано творчество М.Цветаевой, которая создает в Чехии лучшие свои произведения. До начала второй мировой войны в Праге выходило около 20 русских литературных журналов и 18 газет. Среди пражских литературных объединений - "Скит поэтов", Союз русских писателей и журналистов.</w:t>
      </w:r>
    </w:p>
    <w:p w:rsidR="00913591" w:rsidRPr="00913591" w:rsidRDefault="00913591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Русское рассеяние затронуло и Латинскую Америку, Канаду, Скандинавию, США. Писатель Г.Гребенщиков, переехав в 1924 в США, организовал здесь русское издательство "</w:t>
      </w:r>
      <w:proofErr w:type="spellStart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Алатас</w:t>
      </w:r>
      <w:proofErr w:type="spellEnd"/>
      <w:r w:rsidRPr="00913591">
        <w:rPr>
          <w:rFonts w:ascii="Times New Roman" w:eastAsia="Times New Roman" w:hAnsi="Times New Roman" w:cs="Times New Roman"/>
          <w:color w:val="333333"/>
          <w:sz w:val="24"/>
          <w:szCs w:val="24"/>
        </w:rPr>
        <w:t>". Несколько русских издательств было открыто в Нью-Йорке, Детройте, Чикаго.</w:t>
      </w:r>
    </w:p>
    <w:p w:rsidR="00965383" w:rsidRPr="007B635F" w:rsidRDefault="007B635F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Судьба и культурное наследие писателей первой волны русской эмиграции – неотъемлемая часть русской культуры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века, блистательная и трагическая страница в истории русской культуры.</w:t>
      </w:r>
    </w:p>
    <w:p w:rsidR="00965383" w:rsidRDefault="00965383" w:rsidP="00913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0CC8" w:rsidRDefault="00F10CC8" w:rsidP="00F10C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5" w:history="1"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sectPr w:rsidR="00F10CC8" w:rsidSect="007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760"/>
    <w:multiLevelType w:val="hybridMultilevel"/>
    <w:tmpl w:val="4B04430A"/>
    <w:lvl w:ilvl="0" w:tplc="BA46B8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9AD3388"/>
    <w:multiLevelType w:val="hybridMultilevel"/>
    <w:tmpl w:val="7B74A6FC"/>
    <w:lvl w:ilvl="0" w:tplc="B2863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9A6"/>
    <w:multiLevelType w:val="hybridMultilevel"/>
    <w:tmpl w:val="45C61C5C"/>
    <w:lvl w:ilvl="0" w:tplc="65CA68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051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C0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E82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60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AB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4B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2A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26820"/>
    <w:multiLevelType w:val="hybridMultilevel"/>
    <w:tmpl w:val="CB4CCE88"/>
    <w:lvl w:ilvl="0" w:tplc="D9505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E5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1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EF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9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AF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68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3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0A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36AA2"/>
    <w:multiLevelType w:val="hybridMultilevel"/>
    <w:tmpl w:val="383CA036"/>
    <w:lvl w:ilvl="0" w:tplc="B38A5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44C4C6C"/>
    <w:multiLevelType w:val="multilevel"/>
    <w:tmpl w:val="290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70"/>
    <w:rsid w:val="000A18F1"/>
    <w:rsid w:val="001B4ABA"/>
    <w:rsid w:val="001E17A3"/>
    <w:rsid w:val="00287E5A"/>
    <w:rsid w:val="00421B85"/>
    <w:rsid w:val="0042686B"/>
    <w:rsid w:val="004A5FFF"/>
    <w:rsid w:val="0055766C"/>
    <w:rsid w:val="00572C70"/>
    <w:rsid w:val="00703578"/>
    <w:rsid w:val="00762555"/>
    <w:rsid w:val="007B635F"/>
    <w:rsid w:val="008B63CD"/>
    <w:rsid w:val="008B733B"/>
    <w:rsid w:val="00913591"/>
    <w:rsid w:val="009454DB"/>
    <w:rsid w:val="00965383"/>
    <w:rsid w:val="009C3238"/>
    <w:rsid w:val="009C37A4"/>
    <w:rsid w:val="00B95D81"/>
    <w:rsid w:val="00C06E35"/>
    <w:rsid w:val="00CF00C3"/>
    <w:rsid w:val="00DC14E9"/>
    <w:rsid w:val="00E85D87"/>
    <w:rsid w:val="00F1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0C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ila_kosolapova_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cp:lastPrinted>2020-06-15T10:37:00Z</cp:lastPrinted>
  <dcterms:created xsi:type="dcterms:W3CDTF">2020-06-16T11:51:00Z</dcterms:created>
  <dcterms:modified xsi:type="dcterms:W3CDTF">2020-06-17T06:42:00Z</dcterms:modified>
</cp:coreProperties>
</file>