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406EA6">
        <w:rPr>
          <w:rFonts w:ascii="Times New Roman" w:hAnsi="Times New Roman"/>
          <w:b/>
          <w:sz w:val="24"/>
          <w:szCs w:val="24"/>
        </w:rPr>
        <w:t>5</w:t>
      </w:r>
      <w:r w:rsidR="00D64852">
        <w:rPr>
          <w:rFonts w:ascii="Times New Roman" w:hAnsi="Times New Roman"/>
          <w:b/>
          <w:sz w:val="24"/>
          <w:szCs w:val="24"/>
        </w:rPr>
        <w:t>7</w:t>
      </w:r>
      <w:r w:rsidR="00406EA6">
        <w:rPr>
          <w:rFonts w:ascii="Times New Roman" w:hAnsi="Times New Roman"/>
          <w:b/>
          <w:sz w:val="24"/>
          <w:szCs w:val="24"/>
        </w:rPr>
        <w:t xml:space="preserve">. </w:t>
      </w:r>
      <w:r w:rsidR="00D64852" w:rsidRPr="004A0272">
        <w:rPr>
          <w:rFonts w:ascii="Times New Roman" w:hAnsi="Times New Roman"/>
          <w:b/>
          <w:sz w:val="24"/>
          <w:szCs w:val="24"/>
        </w:rPr>
        <w:t>Геополитическое положение и внешняя политика России в 1990-е годы</w:t>
      </w:r>
    </w:p>
    <w:p w:rsidR="008C3795" w:rsidRPr="00DF78BD" w:rsidRDefault="0066068A" w:rsidP="003039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684B35"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8BD" w:rsidRPr="00DF78BD">
        <w:rPr>
          <w:rFonts w:ascii="Times New Roman" w:hAnsi="Times New Roman" w:cs="Times New Roman"/>
          <w:bCs/>
          <w:color w:val="000000"/>
          <w:sz w:val="24"/>
          <w:szCs w:val="24"/>
        </w:rPr>
        <w:t>показат</w:t>
      </w:r>
      <w:r w:rsidR="00DF78BD" w:rsidRPr="00DF78BD">
        <w:rPr>
          <w:rFonts w:ascii="Times New Roman" w:hAnsi="Times New Roman" w:cs="Times New Roman"/>
          <w:sz w:val="24"/>
          <w:szCs w:val="24"/>
        </w:rPr>
        <w:t>ь радикальное изменение геополитического положения России после распада СССР, а также необходимость корректировки её внешней политики в новых условиях.</w:t>
      </w:r>
    </w:p>
    <w:p w:rsidR="00D000A4" w:rsidRDefault="00D000A4" w:rsidP="00D000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p w:rsidR="001C544F" w:rsidRDefault="001C544F" w:rsidP="00E762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000A4" w:rsidRDefault="008C3795" w:rsidP="00D64852">
      <w:pPr>
        <w:keepNext/>
        <w:keepLines/>
        <w:tabs>
          <w:tab w:val="left" w:pos="1679"/>
        </w:tabs>
        <w:spacing w:after="0" w:line="240" w:lineRule="auto"/>
        <w:outlineLvl w:val="1"/>
        <w:rPr>
          <w:b/>
        </w:rPr>
      </w:pPr>
      <w:r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 xml:space="preserve">       </w:t>
      </w:r>
      <w:r>
        <w:rPr>
          <w:rStyle w:val="25"/>
          <w:rFonts w:ascii="Times New Roman" w:hAnsi="Times New Roman" w:cs="Times New Roman"/>
          <w:b/>
          <w:sz w:val="24"/>
          <w:szCs w:val="24"/>
          <w:u w:val="none"/>
          <w:lang w:val="en-US"/>
        </w:rPr>
        <w:t>I</w:t>
      </w:r>
      <w:r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 xml:space="preserve">. </w:t>
      </w:r>
      <w:r w:rsidR="004B3BE5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Изучение нового материала</w:t>
      </w:r>
    </w:p>
    <w:p w:rsidR="00DF78BD" w:rsidRDefault="007333F2" w:rsidP="00A97F64">
      <w:pPr>
        <w:pStyle w:val="a6"/>
        <w:shd w:val="clear" w:color="auto" w:fill="FFFFFF"/>
        <w:spacing w:before="0" w:beforeAutospacing="0" w:after="0" w:afterAutospacing="0"/>
        <w:ind w:firstLine="417"/>
        <w:rPr>
          <w:b/>
          <w:bCs/>
        </w:rPr>
      </w:pPr>
      <w:r w:rsidRPr="007333F2">
        <w:rPr>
          <w:b/>
          <w:color w:val="000000"/>
        </w:rPr>
        <w:t xml:space="preserve">Задание: </w:t>
      </w:r>
      <w:r w:rsidRPr="00A97F64">
        <w:rPr>
          <w:i/>
          <w:color w:val="000000"/>
        </w:rPr>
        <w:t>прочитайте материал учебника</w:t>
      </w:r>
      <w:r w:rsidR="00D90D6F">
        <w:rPr>
          <w:i/>
          <w:color w:val="000000"/>
        </w:rPr>
        <w:t>.</w:t>
      </w:r>
      <w:r w:rsidR="00A97F64">
        <w:rPr>
          <w:i/>
          <w:color w:val="000000"/>
        </w:rPr>
        <w:t xml:space="preserve"> </w:t>
      </w:r>
      <w:r w:rsidR="00A97F64" w:rsidRPr="00A97F64">
        <w:rPr>
          <w:b/>
          <w:bCs/>
          <w:i/>
          <w:u w:val="single"/>
        </w:rPr>
        <w:t>Конспект писать не надо</w:t>
      </w:r>
      <w:r w:rsidR="00A97F64" w:rsidRPr="00A97F64">
        <w:rPr>
          <w:b/>
          <w:bCs/>
          <w:i/>
        </w:rPr>
        <w:t xml:space="preserve">, письменно </w:t>
      </w:r>
      <w:r w:rsidR="00A97F64">
        <w:rPr>
          <w:b/>
          <w:bCs/>
          <w:i/>
        </w:rPr>
        <w:t>выполните задания после лекции</w:t>
      </w:r>
      <w:r w:rsidR="00A97F64">
        <w:rPr>
          <w:b/>
          <w:bCs/>
        </w:rPr>
        <w:t>.</w:t>
      </w:r>
    </w:p>
    <w:p w:rsidR="007333F2" w:rsidRPr="002A01E0" w:rsidRDefault="007333F2" w:rsidP="007333F2">
      <w:pPr>
        <w:pStyle w:val="a6"/>
        <w:spacing w:before="0" w:beforeAutospacing="0" w:after="0" w:afterAutospacing="0"/>
        <w:ind w:left="150" w:right="150" w:firstLine="41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0" w:name="metkadoc4"/>
      <w:r w:rsidRPr="002A01E0">
        <w:rPr>
          <w:b/>
          <w:bCs/>
          <w:color w:val="000000"/>
          <w:kern w:val="36"/>
          <w:shd w:val="clear" w:color="auto" w:fill="FFFFFF"/>
        </w:rPr>
        <w:t>Внешнеполитическая деятельность в условиях новой геополитической ситуации</w:t>
      </w:r>
    </w:p>
    <w:bookmarkEnd w:id="0"/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Внешняя политика Российской Федерации в постсоветский период характеризуется следующими особенностями: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– смена парадигм в мировой политике в связи с окончанием «холодной войны», крушение СССР и социалистической системы, что привело к изменениям в геополитическом пространстве;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 xml:space="preserve">– переход от биполярной системы международных отношений к многополярной и </w:t>
      </w:r>
      <w:proofErr w:type="spellStart"/>
      <w:r w:rsidRPr="002A01E0">
        <w:rPr>
          <w:color w:val="000000"/>
        </w:rPr>
        <w:t>многовекторной</w:t>
      </w:r>
      <w:proofErr w:type="spellEnd"/>
      <w:r w:rsidRPr="002A01E0">
        <w:rPr>
          <w:color w:val="000000"/>
        </w:rPr>
        <w:t xml:space="preserve"> внешней политике;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– появление нового направления во внешнеполитической деятельности – отношений со странами СНГ (бывшими советскими республиками).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 xml:space="preserve">Главными направлениями </w:t>
      </w:r>
      <w:proofErr w:type="gramStart"/>
      <w:r w:rsidRPr="002A01E0">
        <w:rPr>
          <w:color w:val="000000"/>
        </w:rPr>
        <w:t>во</w:t>
      </w:r>
      <w:proofErr w:type="gramEnd"/>
      <w:r w:rsidRPr="002A01E0">
        <w:rPr>
          <w:color w:val="000000"/>
        </w:rPr>
        <w:t xml:space="preserve"> </w:t>
      </w:r>
      <w:proofErr w:type="gramStart"/>
      <w:r w:rsidRPr="002A01E0">
        <w:rPr>
          <w:color w:val="000000"/>
        </w:rPr>
        <w:t>внешней</w:t>
      </w:r>
      <w:proofErr w:type="gramEnd"/>
      <w:r w:rsidRPr="002A01E0">
        <w:rPr>
          <w:color w:val="000000"/>
        </w:rPr>
        <w:t xml:space="preserve"> политики страны с 1992 г. являются: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1) проблемы европейской безопасности (Россия и НАТО);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2) российско-американские отношения;</w:t>
      </w:r>
    </w:p>
    <w:p w:rsidR="007333F2" w:rsidRPr="002A01E0" w:rsidRDefault="007333F2" w:rsidP="007333F2">
      <w:pPr>
        <w:pStyle w:val="a6"/>
        <w:shd w:val="clear" w:color="auto" w:fill="FFFFFF"/>
        <w:spacing w:before="0" w:beforeAutospacing="0" w:after="0" w:afterAutospacing="0"/>
        <w:ind w:firstLine="417"/>
        <w:jc w:val="both"/>
        <w:rPr>
          <w:color w:val="000000"/>
        </w:rPr>
      </w:pPr>
      <w:r w:rsidRPr="002A01E0">
        <w:rPr>
          <w:color w:val="000000"/>
        </w:rPr>
        <w:t>3) взаимоотношения со странами Азии, Африки и Латинской Америки.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После распада Советского Союза изменились место и роль России в мире. Она стала правопреемницей СССР и сохранила его место в международных организациях. В частности, постоянное место в Совете Безопасности ООН. Стал иным и сам мир. Завершилась «холодная война». Рухнула мировая система социализма.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Россия лишилась своего «пояса безопасности», состоящего из дружественных и союзных государств вокруг своих границ. Сами же границы были отодвинуты вглубь страны и установились на уровне российских рубежей 17 века.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Во многих соседних государствах к власти пришли националисты, которые были агрессивно настроены как к самой России, так и к русскоязычному населению в своих государствах. Среди таких стран особенно выделялись Эстония, Латвия и Литва.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Были также утеряны союзники в Восточной Европе, Азии, Африке, Латинской Америке. Таким образом, впервые за долгие годы Россия практически оказалась в международной изоляции.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После распада Советского Союза значительно ослабла обороноспособность России. Распался единый военно-промышленный комплекс. Размещённые вдоль границ СССР укрепления и современная военная техника перешли во владения государств, на чьих территориях они находились.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Например, военно-морскому флоту России пришлось покинуть свои базы в Балтийском море (на территории Эстонии, Латвии и Литвы), Чёрном море (на территории Украины и Грузии), Каспийском море (на территории Азербайджана, Туркменистана).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Были разобраны станции раннего обнаружения средств ракетного нападения вероятного противника в Латвии, Украине, Красноярском крае. То есть перестала существовать единая система противоракетной обороны.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По количеству ракетно-ядерных вооружений Российская Федерация занимала второе место в мире. Но военный потенциал государства был сильно ослаблен.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Нехватка сре</w:t>
      </w:r>
      <w:proofErr w:type="gramStart"/>
      <w:r>
        <w:t>дств пр</w:t>
      </w:r>
      <w:proofErr w:type="gramEnd"/>
      <w:r>
        <w:t>ивела к сокращению армии. В первую очередь на западном направлении.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 середине 1980-х годов соотношение обычных видов вооружений между СССР и НАТО в Европе составляло три к одному в пользу СССР. К середине 1990-х годов стало один к трём. После вступления в НАТО Чехии, Польши и Венгрии это соотношение и вовсе стало один к четырём в пользу Североатлантического альянса. К концу 1990-х годов только европейские государства НАТО превосходили Россию по военным расходам в 20 раз.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Ситуацию осложняло и разрастание военных конфликтов в ряде бывших советских республик. Не было чётких границ со странами СНГ. России требовалась новая концепция внешней политики, отвечающая национальным интересам государства.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После распада Советского Союза перед руководителями США и России встал вопрос о построении новой модели двусторонних отношений. Однако в начале 1990-х годов в российском руководстве ещё не сложилось конкретных представлений о приоритетах национальных интересов страны.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 это время внешнеполитические цели сводились к необходимости обеспечить финансово-политическую помощь в проведении российских реформ со стороны Запада. Поэтому российское правительство приступило к налаживанию дружеских отношений с США и развитыми странами Европы.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Партнёрство США и Российской Федерации впервые было зафиксировано 1 февраля 1992 года в «</w:t>
      </w:r>
      <w:proofErr w:type="spellStart"/>
      <w:r>
        <w:t>Кэмп-Дэвидской</w:t>
      </w:r>
      <w:proofErr w:type="spellEnd"/>
      <w:r>
        <w:t xml:space="preserve"> декларации» о новых отношениях, подписанной Борисом Ельциным и Джорджем Бушем-старшим.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 «</w:t>
      </w:r>
      <w:proofErr w:type="spellStart"/>
      <w:r>
        <w:t>Кэмп-Дэвидская</w:t>
      </w:r>
      <w:proofErr w:type="spellEnd"/>
      <w:r>
        <w:t xml:space="preserve"> декларация» поставила символическую точку в продолжительной «холодной войне». В Декларации говорилось, что Россия и США не рассматривают друг друга в качестве потенциальных противников, а их отношения теперь будут основываться на взаимном доверии, уважении и общей приверженности демократии и экономической свободе.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На совместной пресс-конференции двух лидеров было заявлено о начале новой эры взаимоотношений двух государств. Согласно подписанному в январе 1993 года Договору о сокращении стратегических наступательных вооружений, к 2003 году ракетно-ядерные потенциалы России и США должны быть сокращены на 66 %.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В этом же году Россия присоединилась к Конвенции о запрещении химического оружия.  В 1994 году были досрочно выведены российские войска из Германии. Летом 1994 года Россия стала участником программы НАТО «Партнёрство во имя мира».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Партнёрство во имя мира</w:t>
      </w:r>
      <w:r>
        <w:t xml:space="preserve"> – программа военного сотрудничества НАТО с европейскими государствами и бывшими советскими республиками Закавказья и Центральной Азии, которые не являются членами организации.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В своём послании к Федеральному Собранию в 1994 году Борис Ельцин озвучил приоритеты в области национальной безопасности России: ликвидация очагов военных конфликтов у границ государства; укрепление режима нераспространения оружия массового уничтожения; усиление </w:t>
      </w:r>
      <w:proofErr w:type="gramStart"/>
      <w:r>
        <w:t>контроля за</w:t>
      </w:r>
      <w:proofErr w:type="gramEnd"/>
      <w:r>
        <w:t xml:space="preserve"> международной торговлей оружием, при соблюдении российских интересов в этой области.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 1997 году Россия стала равноправным участником международного клуба, объединяющего правительства ведущих демократических государств мира. С этого времени «Большая семёрка» стала «Большой восьмёркой».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Кроме этого, президентом России был проведён ряд неформальных встреч без галстуков с мировыми лидерами. Это также способствовало стабилизации международной обстановки.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Однако российская уступчивость и готовность к компромиссам зачастую воспринималась на Западе как признак слабости. В то же время российская внешняя </w:t>
      </w:r>
      <w:r>
        <w:lastRenderedPageBreak/>
        <w:t>политика, построенная на уступчивости, готовности к компромиссам порой воспринималась на Западе как признак слабости. Такого мнения придерживались и многие российские политики.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Российское руководство далеко не сразу пришло к выводу, что западные лидеры не собирались действовать в ущерб своим интересам ради дружбы с Россией. К примеру, министр иностранных дел России </w:t>
      </w:r>
      <w:r>
        <w:rPr>
          <w:b/>
          <w:bCs/>
        </w:rPr>
        <w:t>Андрей Владимирович Козырев</w:t>
      </w:r>
      <w:r>
        <w:t xml:space="preserve"> за постоянное согласие с условиями западных коллег получил прозвище «Мистер</w:t>
      </w:r>
      <w:proofErr w:type="gramStart"/>
      <w:r>
        <w:t xml:space="preserve"> Д</w:t>
      </w:r>
      <w:proofErr w:type="gramEnd"/>
      <w:r>
        <w:t>а». В то время как министра иностранных дел СССР Андрея Андреевича Громыко они же называли «Мистером</w:t>
      </w:r>
      <w:proofErr w:type="gramStart"/>
      <w:r>
        <w:t xml:space="preserve"> Н</w:t>
      </w:r>
      <w:proofErr w:type="gramEnd"/>
      <w:r>
        <w:t>ет».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Линия внешней политики России существенно изменилась только к 1996 году. Российское руководство заявило о поддержке идеи многополярного мира – мира, в котором присутствуют несколько полюсов силы, не превосходящих и не распространяющих своё влияние друг на друга.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Поворотным моментом в развитии отношений России и Запада стал Балканский кризис 1999 года. Игнорирование мнения России по поводу операции НАТО против Югославии заставило руководство страны пересмотреть своё отношение к западным партнёрам.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Противоречия между Россией и Западом усилились после начала антитеррористической операции в Чечне в августе 1999 года. В тот момент международные организации и отдельные страны усилили давление на Россию, выставляя себя посредниками в урегулировании чеченской проблемы. </w:t>
      </w:r>
      <w:proofErr w:type="gramStart"/>
      <w:r>
        <w:t>Хотя</w:t>
      </w:r>
      <w:proofErr w:type="gramEnd"/>
      <w:r>
        <w:t xml:space="preserve"> по сути их действия напоминали попытку вмешаться во </w:t>
      </w:r>
      <w:proofErr w:type="spellStart"/>
      <w:r>
        <w:t>внутрироссийские</w:t>
      </w:r>
      <w:proofErr w:type="spellEnd"/>
      <w:r>
        <w:t xml:space="preserve"> дела по югославскому сценарию.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 конце XX века перед Россией вновь стояла задача по пересмотру внешнеполитического курса.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 первой половине 1990-х годов отношения со странами Востока расценивались как второстепенные. Однако уже через несколько лет стало очевидным, что российское правительство просчиталось с выбором внешнеполитического курса.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Отношения России со странами Азии, а также Африки, Латинской Америки активизировалось только после 1996 года. Оно было связано с назначением на пост министра иностранных дел </w:t>
      </w:r>
      <w:r>
        <w:rPr>
          <w:b/>
          <w:bCs/>
        </w:rPr>
        <w:t>Евгения Максимовича Примакова</w:t>
      </w:r>
      <w:r>
        <w:t>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В то время, когда он возглавлял внешнеполитическое </w:t>
      </w:r>
      <w:proofErr w:type="gramStart"/>
      <w:r>
        <w:t>ведомство</w:t>
      </w:r>
      <w:proofErr w:type="gramEnd"/>
      <w:r>
        <w:t xml:space="preserve"> Россия наладила контакты с Японией, Индией, Южной Кореей, странами Юго-Восточной Азии и Персидского залива.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Одним из крупнейших торговых партнёров России на Востоке стал Китай. Развивалось сотрудничество с Вьетнамом в сфере нефтедобычи. Россия и Иран заключили соглашение о сотрудничестве в области мирного использования атомной энергии.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В сентябре 1998 года пост министра иностранных дел занял </w:t>
      </w:r>
      <w:r>
        <w:rPr>
          <w:b/>
          <w:bCs/>
        </w:rPr>
        <w:t>Игорь Сергеевич Иванов</w:t>
      </w:r>
      <w:r>
        <w:t xml:space="preserve">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При нём роль России на мировой арене заметно усилилась. В ноябре 1998 года Российская Федерация была принята в Международную организацию Азиатско-Тихоокеанского экономического сотрудничества. (АТЭС).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Членство в ней предоставило России значительные преимущества в торговле. Усилило её политические позиции.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Во время Балканского кризиса Россия и Китай выступили с заявлением о необходимости создания благоприятных условий для многополярного мира.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После распада СССР перед лидерами независимых госуда</w:t>
      </w:r>
      <w:proofErr w:type="gramStart"/>
      <w:r>
        <w:t>рств ст</w:t>
      </w:r>
      <w:proofErr w:type="gramEnd"/>
      <w:r>
        <w:t>ояла задача не допустить на постсоветском пространстве развития событий по югославскому сценарию. Когда распад Югославии привёл к кровопролитной гражданской войне.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Руководству России удалось избежать двух крайностей. Оно смогло не допустить силовых попыток восстановления союзного государства. В то же время российское правительство не отказалось от участия в решении проблем, возникших в СНГ.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При содействии России были ликвидированы очаги военных конфликтов в Приднестровье, Южной Осетии, Абхазии, Нагорном Карабахе, Таджикистане.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За первые пять лет существования СНГ его участники приняли более восьмисот совместных соглашений. Среди них Договор об экономическом союзе, Соглашение о межгосударственном экономическом комитете, Договор о коллективной безопасности.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Но </w:t>
      </w:r>
      <w:proofErr w:type="gramStart"/>
      <w:r>
        <w:t>всё</w:t>
      </w:r>
      <w:proofErr w:type="gramEnd"/>
      <w:r>
        <w:t xml:space="preserve"> же Содружества в том виде, как это предполагалось в декабре 1991 года, создать не удалось. Большинство программ и планов остались нереализованными, внутри СНГ неуклонно сокращались объёмы торговли, во всех областях общественно-политической и экономической жизни нарастали новые противоречия.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Немаловажное значение в отношениях между бывшими странами Советского Союза играл внешний фактор. Многим государствам не понравилось воссоздание на новой основе единого мощного государственного образования.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Проблемы, которые не удавалось урегулировать совместно, отдельные страны СНГ пытались решить на региональной основе. В 1998 году образовался политический союз ГУУАМ. В него вошли Грузия, Украина, Узбекистан, Азербайджан, Молдавия. 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 xml:space="preserve">В 1995 году был подписан первый договор о создании Таможенного союза между Россией, Беларусью, Казахстаном. Чуть позже к нему присоединились Киргизия, Узбекистан, Таджикистан. 2 апреля 1997 года в Москве был </w:t>
      </w:r>
      <w:proofErr w:type="gramStart"/>
      <w:r>
        <w:t>подписан</w:t>
      </w:r>
      <w:proofErr w:type="gramEnd"/>
      <w:r>
        <w:t xml:space="preserve"> подписали Договор о Союзе Беларуси и России.</w:t>
      </w:r>
    </w:p>
    <w:p w:rsidR="00C51CEA" w:rsidRPr="00A97F64" w:rsidRDefault="00C51CEA" w:rsidP="00C51CEA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A97F64">
        <w:rPr>
          <w:i/>
        </w:rPr>
        <w:t xml:space="preserve">Внешняя политика России в 1990-е годы имела противоречивый характер. 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Среди её положительных результатов можно назвать снижение уровня военного противостояния с Западом; преодоление Россией изолированность от западных стран и её включение в деятельность важных международных организаций; активизация восточного направления российской внешней политики; получение Россией центрального места в СНГ.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С другой стороны, появились и новые проблемы. Политический вес государства, по сравнению с СССР, снизился. Ведущие страны Запада в меньшей, чем в прежние годы, степени учитывали позицию и интересы России.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t>Усилилось отставание России от стран Запада и Японии в научно-техническом отношении. Такое положение дел требовало постоянной корректировки курса внешней политики. Необходимо было разработать новую концепцию, которая бы определила место России в мире и её национальные интересы.</w:t>
      </w:r>
    </w:p>
    <w:p w:rsidR="00C51CEA" w:rsidRDefault="00C51CEA" w:rsidP="00C51CEA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Подведём итоги.</w:t>
      </w:r>
      <w:r>
        <w:t xml:space="preserve"> После распада СССР перед Россией встала задача укрепления своей обороноспособности и отстаивания национальных интересов. Главным направлением внешней политики России стало соблюдение национальных интересов и обеспечение </w:t>
      </w:r>
      <w:proofErr w:type="spellStart"/>
      <w:r>
        <w:t>многополярности</w:t>
      </w:r>
      <w:proofErr w:type="spellEnd"/>
      <w:r>
        <w:t xml:space="preserve"> мира. Запад не считал Россию равноправным партнёром. Это привело к обострению отношений в конце XX века. Восточное направление российской внешней политики активизировалось во второй половине 1990-х годов. В 1990-е годы Россия заняла центральное место в СНГ.</w:t>
      </w:r>
    </w:p>
    <w:p w:rsidR="00A97F64" w:rsidRDefault="00A97F64" w:rsidP="00C51C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51CEA" w:rsidRDefault="00A97F64" w:rsidP="00C51C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Задания.</w:t>
      </w:r>
    </w:p>
    <w:p w:rsidR="00A97F64" w:rsidRDefault="00A97F64" w:rsidP="00D90D6F">
      <w:pPr>
        <w:pStyle w:val="a6"/>
        <w:spacing w:before="0" w:beforeAutospacing="0" w:after="0" w:afterAutospacing="0"/>
        <w:rPr>
          <w:rStyle w:val="ad"/>
          <w:rFonts w:eastAsiaTheme="majorEastAsia"/>
        </w:rPr>
      </w:pPr>
      <w:r>
        <w:rPr>
          <w:rStyle w:val="ad"/>
          <w:rFonts w:eastAsiaTheme="majorEastAsia"/>
        </w:rPr>
        <w:t>1. Дайте определение понятия «геополитика».</w:t>
      </w:r>
    </w:p>
    <w:p w:rsidR="00A97F64" w:rsidRDefault="00A97F64" w:rsidP="00D90D6F">
      <w:pPr>
        <w:pStyle w:val="a6"/>
        <w:spacing w:before="0" w:beforeAutospacing="0" w:after="0" w:afterAutospacing="0"/>
        <w:rPr>
          <w:b/>
          <w:bCs/>
        </w:rPr>
      </w:pPr>
      <w:r>
        <w:rPr>
          <w:rStyle w:val="ad"/>
          <w:rFonts w:eastAsiaTheme="majorEastAsia"/>
        </w:rPr>
        <w:t>2. Расшифруйте аббревиатуры: НАТО, СНГ, ГУУАМ, АТЭС, ОБСЕ. Какие задачи ставили перед собой эти объединения?</w:t>
      </w:r>
    </w:p>
    <w:p w:rsidR="00A97F64" w:rsidRDefault="00A97F64" w:rsidP="00D90D6F">
      <w:pPr>
        <w:pStyle w:val="a6"/>
        <w:spacing w:before="0" w:beforeAutospacing="0" w:after="0" w:afterAutospacing="0"/>
      </w:pPr>
      <w:r>
        <w:rPr>
          <w:rStyle w:val="ad"/>
          <w:rFonts w:eastAsiaTheme="majorEastAsia"/>
        </w:rPr>
        <w:t>3. Запишите основные даты:</w:t>
      </w:r>
      <w:r>
        <w:t xml:space="preserve"> </w:t>
      </w:r>
    </w:p>
    <w:p w:rsidR="00A97F64" w:rsidRDefault="00A97F64" w:rsidP="00D90D6F">
      <w:pPr>
        <w:pStyle w:val="a6"/>
        <w:spacing w:before="0" w:beforeAutospacing="0" w:after="0" w:afterAutospacing="0"/>
        <w:jc w:val="both"/>
      </w:pPr>
      <w:r>
        <w:t xml:space="preserve">1993 — подписание между СССР и США Договора об ограничении стратегических наступательных вооружений (ОСНВ-2); </w:t>
      </w:r>
    </w:p>
    <w:p w:rsidR="00A97F64" w:rsidRDefault="00A97F64" w:rsidP="00D90D6F">
      <w:pPr>
        <w:pStyle w:val="a6"/>
        <w:spacing w:before="0" w:beforeAutospacing="0" w:after="0" w:afterAutospacing="0"/>
      </w:pPr>
      <w:r>
        <w:t xml:space="preserve">1994 — присоединение России к программе НАТО «Партнёрство во имя мира»; </w:t>
      </w:r>
    </w:p>
    <w:p w:rsidR="00A97F64" w:rsidRDefault="00A97F64" w:rsidP="00D90D6F">
      <w:pPr>
        <w:pStyle w:val="a6"/>
        <w:spacing w:before="0" w:beforeAutospacing="0" w:after="0" w:afterAutospacing="0"/>
        <w:jc w:val="both"/>
      </w:pPr>
      <w:r>
        <w:t>1997 — подписание Россией и Белоруссией Договора о создании Содружества Суверенных Республик.</w:t>
      </w:r>
    </w:p>
    <w:p w:rsidR="00C51CEA" w:rsidRDefault="00C51CEA" w:rsidP="00D90D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97F64" w:rsidRPr="00880C8A" w:rsidRDefault="00880C8A" w:rsidP="004555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Домашнее задание. </w:t>
      </w:r>
      <w:r w:rsidR="00D90D6F">
        <w:rPr>
          <w:color w:val="000000"/>
        </w:rPr>
        <w:t>Повторить материал.</w:t>
      </w:r>
    </w:p>
    <w:sectPr w:rsidR="00A97F64" w:rsidRPr="00880C8A" w:rsidSect="00E47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E6B"/>
    <w:multiLevelType w:val="hybridMultilevel"/>
    <w:tmpl w:val="CAF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7B23"/>
    <w:multiLevelType w:val="multilevel"/>
    <w:tmpl w:val="8300233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7A3"/>
    <w:multiLevelType w:val="hybridMultilevel"/>
    <w:tmpl w:val="7B5AD034"/>
    <w:lvl w:ilvl="0" w:tplc="C31EE59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973FE"/>
    <w:multiLevelType w:val="hybridMultilevel"/>
    <w:tmpl w:val="5758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63BE"/>
    <w:multiLevelType w:val="hybridMultilevel"/>
    <w:tmpl w:val="338E450E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7844"/>
    <w:multiLevelType w:val="hybridMultilevel"/>
    <w:tmpl w:val="23CCD03A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78BE"/>
    <w:multiLevelType w:val="hybridMultilevel"/>
    <w:tmpl w:val="BA4EFB44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976"/>
    <w:multiLevelType w:val="hybridMultilevel"/>
    <w:tmpl w:val="7760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2B1C"/>
    <w:multiLevelType w:val="hybridMultilevel"/>
    <w:tmpl w:val="F1D63C36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0057"/>
    <w:multiLevelType w:val="hybridMultilevel"/>
    <w:tmpl w:val="950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B0997"/>
    <w:multiLevelType w:val="hybridMultilevel"/>
    <w:tmpl w:val="8E62B102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0AD0"/>
    <w:multiLevelType w:val="multilevel"/>
    <w:tmpl w:val="F074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A3AF0"/>
    <w:multiLevelType w:val="multilevel"/>
    <w:tmpl w:val="26AE6B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E7EFB"/>
    <w:multiLevelType w:val="hybridMultilevel"/>
    <w:tmpl w:val="EA066C96"/>
    <w:lvl w:ilvl="0" w:tplc="EA0EAE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E26D8"/>
    <w:multiLevelType w:val="hybridMultilevel"/>
    <w:tmpl w:val="D9F04ACE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D13D3"/>
    <w:multiLevelType w:val="hybridMultilevel"/>
    <w:tmpl w:val="6012FD94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58D6"/>
    <w:multiLevelType w:val="hybridMultilevel"/>
    <w:tmpl w:val="438CCB12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7D0F"/>
    <w:multiLevelType w:val="singleLevel"/>
    <w:tmpl w:val="1DA45D1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7AF30F2B"/>
    <w:multiLevelType w:val="hybridMultilevel"/>
    <w:tmpl w:val="50C2A894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233EA"/>
    <w:multiLevelType w:val="hybridMultilevel"/>
    <w:tmpl w:val="AC4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45F8"/>
    <w:multiLevelType w:val="hybridMultilevel"/>
    <w:tmpl w:val="8FCAD0F6"/>
    <w:lvl w:ilvl="0" w:tplc="C31EE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18"/>
  </w:num>
  <w:num w:numId="14">
    <w:abstractNumId w:val="14"/>
  </w:num>
  <w:num w:numId="15">
    <w:abstractNumId w:val="20"/>
  </w:num>
  <w:num w:numId="16">
    <w:abstractNumId w:val="4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A94"/>
    <w:rsid w:val="000106FB"/>
    <w:rsid w:val="000557DB"/>
    <w:rsid w:val="00075CA3"/>
    <w:rsid w:val="0007666A"/>
    <w:rsid w:val="00081BEC"/>
    <w:rsid w:val="000833AD"/>
    <w:rsid w:val="0011137F"/>
    <w:rsid w:val="00146AC8"/>
    <w:rsid w:val="0016305F"/>
    <w:rsid w:val="001C544F"/>
    <w:rsid w:val="001E2932"/>
    <w:rsid w:val="00210003"/>
    <w:rsid w:val="00212A25"/>
    <w:rsid w:val="002245F9"/>
    <w:rsid w:val="00252F2C"/>
    <w:rsid w:val="00252FAB"/>
    <w:rsid w:val="00274A9F"/>
    <w:rsid w:val="002775F1"/>
    <w:rsid w:val="002B0E9E"/>
    <w:rsid w:val="002C0664"/>
    <w:rsid w:val="002C34D3"/>
    <w:rsid w:val="002E0C19"/>
    <w:rsid w:val="002F2D78"/>
    <w:rsid w:val="00301DBB"/>
    <w:rsid w:val="00303981"/>
    <w:rsid w:val="00310333"/>
    <w:rsid w:val="003335BD"/>
    <w:rsid w:val="00337607"/>
    <w:rsid w:val="00344DA3"/>
    <w:rsid w:val="00364276"/>
    <w:rsid w:val="00395F48"/>
    <w:rsid w:val="003B1228"/>
    <w:rsid w:val="003D63C6"/>
    <w:rsid w:val="003F2757"/>
    <w:rsid w:val="00406EA6"/>
    <w:rsid w:val="00410729"/>
    <w:rsid w:val="0041579C"/>
    <w:rsid w:val="00433864"/>
    <w:rsid w:val="00440381"/>
    <w:rsid w:val="004503C6"/>
    <w:rsid w:val="00452D4B"/>
    <w:rsid w:val="004555B2"/>
    <w:rsid w:val="00477886"/>
    <w:rsid w:val="00492180"/>
    <w:rsid w:val="004B3BE5"/>
    <w:rsid w:val="004B7419"/>
    <w:rsid w:val="004C5BA1"/>
    <w:rsid w:val="004F2E9F"/>
    <w:rsid w:val="005067D2"/>
    <w:rsid w:val="00516694"/>
    <w:rsid w:val="005311F1"/>
    <w:rsid w:val="00554FB2"/>
    <w:rsid w:val="00560D24"/>
    <w:rsid w:val="005D4033"/>
    <w:rsid w:val="005E40DB"/>
    <w:rsid w:val="005E549D"/>
    <w:rsid w:val="00656A8E"/>
    <w:rsid w:val="0066068A"/>
    <w:rsid w:val="00665C68"/>
    <w:rsid w:val="006756B3"/>
    <w:rsid w:val="006842CA"/>
    <w:rsid w:val="00684B35"/>
    <w:rsid w:val="006A519B"/>
    <w:rsid w:val="006B7B66"/>
    <w:rsid w:val="006C5EB4"/>
    <w:rsid w:val="006E744D"/>
    <w:rsid w:val="007333F2"/>
    <w:rsid w:val="00744692"/>
    <w:rsid w:val="007611E5"/>
    <w:rsid w:val="00780AA6"/>
    <w:rsid w:val="007A4CB1"/>
    <w:rsid w:val="007C10B8"/>
    <w:rsid w:val="007C4A22"/>
    <w:rsid w:val="007E5B4C"/>
    <w:rsid w:val="007F025B"/>
    <w:rsid w:val="00801C2B"/>
    <w:rsid w:val="0082120E"/>
    <w:rsid w:val="00880C8A"/>
    <w:rsid w:val="008C3795"/>
    <w:rsid w:val="008D05C4"/>
    <w:rsid w:val="00903564"/>
    <w:rsid w:val="009341CA"/>
    <w:rsid w:val="0096351B"/>
    <w:rsid w:val="00971A93"/>
    <w:rsid w:val="009B3B90"/>
    <w:rsid w:val="009B7005"/>
    <w:rsid w:val="009C5263"/>
    <w:rsid w:val="009F1EF7"/>
    <w:rsid w:val="00A1786D"/>
    <w:rsid w:val="00A20E02"/>
    <w:rsid w:val="00A30738"/>
    <w:rsid w:val="00A524F1"/>
    <w:rsid w:val="00A57FFB"/>
    <w:rsid w:val="00A645D6"/>
    <w:rsid w:val="00A97F64"/>
    <w:rsid w:val="00AD7459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219B3"/>
    <w:rsid w:val="00C42DF7"/>
    <w:rsid w:val="00C51CEA"/>
    <w:rsid w:val="00C537AD"/>
    <w:rsid w:val="00C75737"/>
    <w:rsid w:val="00C95336"/>
    <w:rsid w:val="00CD1F85"/>
    <w:rsid w:val="00CD33F3"/>
    <w:rsid w:val="00D000A4"/>
    <w:rsid w:val="00D104B8"/>
    <w:rsid w:val="00D10630"/>
    <w:rsid w:val="00D15275"/>
    <w:rsid w:val="00D40BF9"/>
    <w:rsid w:val="00D64852"/>
    <w:rsid w:val="00D90D6F"/>
    <w:rsid w:val="00D959DB"/>
    <w:rsid w:val="00DA50DC"/>
    <w:rsid w:val="00DD70A9"/>
    <w:rsid w:val="00DF7833"/>
    <w:rsid w:val="00DF78BD"/>
    <w:rsid w:val="00E14C08"/>
    <w:rsid w:val="00E448C5"/>
    <w:rsid w:val="00E466FF"/>
    <w:rsid w:val="00E47DA0"/>
    <w:rsid w:val="00E66527"/>
    <w:rsid w:val="00E762EE"/>
    <w:rsid w:val="00E870F7"/>
    <w:rsid w:val="00EA47AF"/>
    <w:rsid w:val="00EB2510"/>
    <w:rsid w:val="00ED0A94"/>
    <w:rsid w:val="00EF4AD2"/>
    <w:rsid w:val="00F01D7F"/>
    <w:rsid w:val="00F02EFB"/>
    <w:rsid w:val="00F115A3"/>
    <w:rsid w:val="00F44CED"/>
    <w:rsid w:val="00FA16B2"/>
    <w:rsid w:val="00FA567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3335BD"/>
    <w:rPr>
      <w:i/>
      <w:iCs/>
    </w:rPr>
  </w:style>
  <w:style w:type="character" w:customStyle="1" w:styleId="24">
    <w:name w:val="Заголовок №2_"/>
    <w:basedOn w:val="a0"/>
    <w:rsid w:val="005067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_"/>
    <w:basedOn w:val="a0"/>
    <w:link w:val="11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f0">
    <w:name w:val="Основной текст + Полужирный"/>
    <w:basedOn w:val="af"/>
    <w:rsid w:val="005067D2"/>
    <w:rPr>
      <w:b/>
      <w:bCs/>
    </w:rPr>
  </w:style>
  <w:style w:type="character" w:customStyle="1" w:styleId="25">
    <w:name w:val="Заголовок №2"/>
    <w:basedOn w:val="24"/>
    <w:rsid w:val="005067D2"/>
    <w:rPr>
      <w:u w:val="single"/>
    </w:rPr>
  </w:style>
  <w:style w:type="paragraph" w:customStyle="1" w:styleId="11">
    <w:name w:val="Основной текст1"/>
    <w:basedOn w:val="a"/>
    <w:link w:val="af"/>
    <w:rsid w:val="005067D2"/>
    <w:pPr>
      <w:shd w:val="clear" w:color="auto" w:fill="FFFFFF"/>
      <w:spacing w:before="180" w:after="0" w:line="250" w:lineRule="exact"/>
      <w:ind w:hanging="280"/>
    </w:pPr>
    <w:rPr>
      <w:rFonts w:ascii="Sylfaen" w:eastAsia="Sylfaen" w:hAnsi="Sylfaen" w:cs="Sylfaen"/>
      <w:sz w:val="20"/>
      <w:szCs w:val="20"/>
    </w:rPr>
  </w:style>
  <w:style w:type="character" w:customStyle="1" w:styleId="33">
    <w:name w:val="Основной текст (3)_"/>
    <w:basedOn w:val="a0"/>
    <w:link w:val="34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67D2"/>
    <w:pPr>
      <w:shd w:val="clear" w:color="auto" w:fill="FFFFFF"/>
      <w:spacing w:before="540" w:after="360" w:line="0" w:lineRule="atLeas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3B10-B6FB-470C-9268-6422DF45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6</cp:revision>
  <cp:lastPrinted>2020-06-17T09:45:00Z</cp:lastPrinted>
  <dcterms:created xsi:type="dcterms:W3CDTF">2020-06-17T07:44:00Z</dcterms:created>
  <dcterms:modified xsi:type="dcterms:W3CDTF">2020-06-17T09:46:00Z</dcterms:modified>
</cp:coreProperties>
</file>