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92" w:rsidRDefault="00293492" w:rsidP="00293492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06 мая 2020 г. Урок №63</w:t>
      </w:r>
    </w:p>
    <w:p w:rsidR="00293492" w:rsidRDefault="00293492" w:rsidP="00293492">
      <w:pPr>
        <w:jc w:val="center"/>
        <w:rPr>
          <w:b/>
        </w:rPr>
      </w:pPr>
    </w:p>
    <w:p w:rsidR="00293492" w:rsidRDefault="00293492" w:rsidP="00293492">
      <w:pPr>
        <w:jc w:val="center"/>
        <w:rPr>
          <w:b/>
          <w:sz w:val="24"/>
          <w:szCs w:val="24"/>
        </w:rPr>
      </w:pPr>
      <w:r w:rsidRPr="004219B5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3.8. Схемы</w:t>
      </w:r>
    </w:p>
    <w:p w:rsidR="00293492" w:rsidRDefault="00293492" w:rsidP="002934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Урок №63. Практическая работа.  Электрические схемы.</w:t>
      </w:r>
    </w:p>
    <w:p w:rsidR="00293492" w:rsidRDefault="00293492" w:rsidP="002934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293492" w:rsidRDefault="004B0ADA" w:rsidP="00293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1.Изучить текст,</w:t>
      </w:r>
      <w:r w:rsidR="00293492">
        <w:rPr>
          <w:b/>
          <w:sz w:val="24"/>
          <w:szCs w:val="24"/>
        </w:rPr>
        <w:t xml:space="preserve"> </w:t>
      </w:r>
      <w:r w:rsidR="004279D4">
        <w:rPr>
          <w:b/>
          <w:sz w:val="24"/>
          <w:szCs w:val="24"/>
        </w:rPr>
        <w:t>приведенный ниже (Правила устройства электроустановок)</w:t>
      </w:r>
      <w:r w:rsidR="00A20CA3">
        <w:rPr>
          <w:b/>
          <w:sz w:val="24"/>
          <w:szCs w:val="24"/>
        </w:rPr>
        <w:t>.</w:t>
      </w:r>
      <w:r w:rsidR="00293492">
        <w:rPr>
          <w:b/>
          <w:sz w:val="24"/>
          <w:szCs w:val="24"/>
        </w:rPr>
        <w:t xml:space="preserve"> </w:t>
      </w:r>
    </w:p>
    <w:p w:rsidR="00293492" w:rsidRDefault="00293492" w:rsidP="002934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2.Выполнить по образцу электрическую схему </w:t>
      </w:r>
      <w:r w:rsidR="00A20CA3">
        <w:rPr>
          <w:b/>
          <w:sz w:val="24"/>
          <w:szCs w:val="24"/>
        </w:rPr>
        <w:t>(рисунок 1.7.7)</w:t>
      </w:r>
      <w:r>
        <w:rPr>
          <w:b/>
          <w:sz w:val="24"/>
          <w:szCs w:val="24"/>
        </w:rPr>
        <w:t xml:space="preserve">уравнивания потенциалов в </w:t>
      </w:r>
      <w:r w:rsidR="004279D4">
        <w:rPr>
          <w:b/>
          <w:sz w:val="24"/>
          <w:szCs w:val="24"/>
        </w:rPr>
        <w:t xml:space="preserve">здании  на формате А3, </w:t>
      </w:r>
      <w:r w:rsidR="00A20CA3">
        <w:rPr>
          <w:b/>
          <w:sz w:val="24"/>
          <w:szCs w:val="24"/>
        </w:rPr>
        <w:t xml:space="preserve">соблюдая </w:t>
      </w:r>
      <w:r w:rsidR="004279D4">
        <w:rPr>
          <w:b/>
          <w:sz w:val="24"/>
          <w:szCs w:val="24"/>
        </w:rPr>
        <w:t>правил</w:t>
      </w:r>
      <w:r w:rsidR="00A20CA3">
        <w:rPr>
          <w:b/>
          <w:sz w:val="24"/>
          <w:szCs w:val="24"/>
        </w:rPr>
        <w:t>а</w:t>
      </w:r>
      <w:r w:rsidR="004279D4">
        <w:rPr>
          <w:b/>
          <w:sz w:val="24"/>
          <w:szCs w:val="24"/>
        </w:rPr>
        <w:t xml:space="preserve"> оф</w:t>
      </w:r>
      <w:r w:rsidR="00A20CA3">
        <w:rPr>
          <w:b/>
          <w:sz w:val="24"/>
          <w:szCs w:val="24"/>
        </w:rPr>
        <w:t>ормления схем.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1.7.82. Основная система уравнивания потенциалов в электроустановках до 1 кВ должна соединять между собой следующие проводящие части (рис.1.7.7):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1) нулевой защитный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PE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- или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PEN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-проводник питающей линии в системе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 TN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2) заземляющий проводник, присоединенный к заземляющему устройству электроустановки, в системах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IT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и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TT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 xml:space="preserve">3) заземляющий проводник, присоединенный к </w:t>
      </w:r>
      <w:proofErr w:type="spellStart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заземлителю</w:t>
      </w:r>
      <w:proofErr w:type="spellEnd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 xml:space="preserve"> повторного заземления на вводе в здание (если есть </w:t>
      </w:r>
      <w:proofErr w:type="spellStart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заземлитель</w:t>
      </w:r>
      <w:proofErr w:type="spellEnd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);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4) металлические трубы коммуникаций, входящих в здание: горячего и холодного водоснабжения, канализации, отопления, газоснабжения и т.п.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Если трубопровод газоснабжения имеет изолирующую вставку на вводе в здание, к основной системе уравнивания потенциалов присоединяется только та часть трубопровода, которая находится относительно изолирующей вставки со стороны здания;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5) металлические части каркаса здания;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6) металлические части централизованных систем вентиляции и кондиционирования. При наличии децентрализованных систем вентиляции и кондиционирования металлические воздуховоды следует присоединять к шине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PE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щитов питания вентиляторов и кондиционеров;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 xml:space="preserve">7) заземляющее устройство системы </w:t>
      </w:r>
      <w:proofErr w:type="spellStart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молниезащиты</w:t>
      </w:r>
      <w:proofErr w:type="spellEnd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 xml:space="preserve"> 2-й и 3-й категорий;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 xml:space="preserve">8) заземляющий проводник функционального (рабочего) заземления, если такое </w:t>
      </w:r>
      <w:proofErr w:type="gramStart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имеется</w:t>
      </w:r>
      <w:proofErr w:type="gramEnd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 xml:space="preserve"> и отсутствуют ограничения на присоединение сети рабочего заземления к заземляющему устройству защитного заземления;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9) металлические оболочки телекоммуникационных кабелей.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noProof/>
        </w:rPr>
        <w:lastRenderedPageBreak/>
        <w:drawing>
          <wp:inline distT="0" distB="0" distL="0" distR="0">
            <wp:extent cx="4451350" cy="6400800"/>
            <wp:effectExtent l="19050" t="0" r="6350" b="0"/>
            <wp:docPr id="125" name="Рисунок 125" descr="C:\Documents and Settings\Николай Михайлович 2\Рабочий стол\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Documents and Settings\Николай Михайлович 2\Рабочий стол\image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b/>
          <w:bCs/>
          <w:color w:val="000000"/>
          <w:sz w:val="19"/>
        </w:rPr>
        <w:t>Рис.1.7.7. Система уравнивания потенциалов в здании: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M —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открытая проводящая часть;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C</w:t>
      </w:r>
      <w:r w:rsidRPr="00F17358">
        <w:rPr>
          <w:rFonts w:ascii="Helvetica" w:eastAsia="Times New Roman" w:hAnsi="Helvetica" w:cs="Helvetica"/>
          <w:i/>
          <w:iCs/>
          <w:color w:val="000000"/>
          <w:sz w:val="14"/>
          <w:vertAlign w:val="subscript"/>
        </w:rPr>
        <w:t>1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 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металлические трубы водопровода, входящие в здание;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C</w:t>
      </w:r>
      <w:r w:rsidRPr="00F17358">
        <w:rPr>
          <w:rFonts w:ascii="Helvetica" w:eastAsia="Times New Roman" w:hAnsi="Helvetica" w:cs="Helvetica"/>
          <w:i/>
          <w:iCs/>
          <w:color w:val="000000"/>
          <w:sz w:val="14"/>
          <w:vertAlign w:val="subscript"/>
        </w:rPr>
        <w:t>2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 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металлические трубы канализации, входящие в здание;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C</w:t>
      </w:r>
      <w:r w:rsidRPr="00F17358">
        <w:rPr>
          <w:rFonts w:ascii="Helvetica" w:eastAsia="Times New Roman" w:hAnsi="Helvetica" w:cs="Helvetica"/>
          <w:i/>
          <w:iCs/>
          <w:color w:val="000000"/>
          <w:sz w:val="14"/>
          <w:vertAlign w:val="subscript"/>
        </w:rPr>
        <w:t>3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 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металлические трубы газоснабжения с изолирующей вставкой на вводе, входящие в здание;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C</w:t>
      </w:r>
      <w:r w:rsidRPr="00F17358">
        <w:rPr>
          <w:rFonts w:ascii="Helvetica" w:eastAsia="Times New Roman" w:hAnsi="Helvetica" w:cs="Helvetica"/>
          <w:i/>
          <w:iCs/>
          <w:color w:val="000000"/>
          <w:sz w:val="14"/>
          <w:vertAlign w:val="subscript"/>
        </w:rPr>
        <w:t>4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 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воздуховоды вентиляции и кондиционирования;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C</w:t>
      </w:r>
      <w:r w:rsidRPr="00F17358">
        <w:rPr>
          <w:rFonts w:ascii="Helvetica" w:eastAsia="Times New Roman" w:hAnsi="Helvetica" w:cs="Helvetica"/>
          <w:i/>
          <w:iCs/>
          <w:color w:val="000000"/>
          <w:sz w:val="14"/>
          <w:vertAlign w:val="subscript"/>
        </w:rPr>
        <w:t>5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 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система отопления;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C</w:t>
      </w:r>
      <w:r w:rsidRPr="00F17358">
        <w:rPr>
          <w:rFonts w:ascii="Helvetica" w:eastAsia="Times New Roman" w:hAnsi="Helvetica" w:cs="Helvetica"/>
          <w:i/>
          <w:iCs/>
          <w:color w:val="000000"/>
          <w:sz w:val="14"/>
          <w:vertAlign w:val="subscript"/>
        </w:rPr>
        <w:t>6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 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металлические водопроводные трубы в ванной комнате;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C</w:t>
      </w:r>
      <w:r w:rsidRPr="00F17358">
        <w:rPr>
          <w:rFonts w:ascii="Helvetica" w:eastAsia="Times New Roman" w:hAnsi="Helvetica" w:cs="Helvetica"/>
          <w:color w:val="000000"/>
          <w:sz w:val="14"/>
          <w:szCs w:val="14"/>
          <w:vertAlign w:val="subscript"/>
        </w:rPr>
        <w:t>7 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металлическая ванна;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C</w:t>
      </w:r>
      <w:r w:rsidRPr="00F17358">
        <w:rPr>
          <w:rFonts w:ascii="Helvetica" w:eastAsia="Times New Roman" w:hAnsi="Helvetica" w:cs="Helvetica"/>
          <w:i/>
          <w:iCs/>
          <w:color w:val="000000"/>
          <w:sz w:val="14"/>
          <w:vertAlign w:val="subscript"/>
        </w:rPr>
        <w:t>8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 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сторонняя проводящая часть в пределах досягаемости от открытых проводящих частей;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lastRenderedPageBreak/>
        <w:t>C</w:t>
      </w:r>
      <w:r w:rsidRPr="00F17358">
        <w:rPr>
          <w:rFonts w:ascii="Helvetica" w:eastAsia="Times New Roman" w:hAnsi="Helvetica" w:cs="Helvetica"/>
          <w:i/>
          <w:iCs/>
          <w:color w:val="000000"/>
          <w:sz w:val="14"/>
          <w:vertAlign w:val="subscript"/>
        </w:rPr>
        <w:t>9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 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арматура железобетонных конструкций;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Г3Ш 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главная заземляющая шина;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T</w:t>
      </w:r>
      <w:r w:rsidRPr="00F17358">
        <w:rPr>
          <w:rFonts w:ascii="Helvetica" w:eastAsia="Times New Roman" w:hAnsi="Helvetica" w:cs="Helvetica"/>
          <w:i/>
          <w:iCs/>
          <w:color w:val="000000"/>
          <w:sz w:val="14"/>
          <w:vertAlign w:val="subscript"/>
        </w:rPr>
        <w:t>1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 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 xml:space="preserve">естественный </w:t>
      </w:r>
      <w:proofErr w:type="spellStart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заземлитель</w:t>
      </w:r>
      <w:proofErr w:type="spellEnd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T</w:t>
      </w:r>
      <w:r w:rsidRPr="00F17358">
        <w:rPr>
          <w:rFonts w:ascii="Helvetica" w:eastAsia="Times New Roman" w:hAnsi="Helvetica" w:cs="Helvetica"/>
          <w:i/>
          <w:iCs/>
          <w:color w:val="000000"/>
          <w:sz w:val="14"/>
          <w:vertAlign w:val="subscript"/>
        </w:rPr>
        <w:t>2</w:t>
      </w: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 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proofErr w:type="spellStart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заземлитель</w:t>
      </w:r>
      <w:proofErr w:type="spellEnd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 xml:space="preserve"> </w:t>
      </w:r>
      <w:proofErr w:type="spellStart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молниезащиты</w:t>
      </w:r>
      <w:proofErr w:type="spellEnd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 xml:space="preserve"> (если имеется);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1 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нулевой защитный проводник;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2 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проводник основной системы уравнивания потенциалов;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3 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проводник дополнительной системы уравнивания потенциалов;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4 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 xml:space="preserve">токоотвод системы </w:t>
      </w:r>
      <w:proofErr w:type="spellStart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молниезащиты</w:t>
      </w:r>
      <w:proofErr w:type="spellEnd"/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5 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контур (магистраль) рабочего заземления в помещении информационного вычислительного оборудования;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6 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проводник рабочего (функционального) заземления;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7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— проводник уравнивания потенциалов в системе рабочего (функционального) заземления;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i/>
          <w:iCs/>
          <w:color w:val="000000"/>
          <w:sz w:val="19"/>
        </w:rPr>
        <w:t>8 —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заземляющий проводник.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Pr="00F17358" w:rsidRDefault="00293492" w:rsidP="00293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Проводящие части, входящие в здание извне, должны быть соединены как можно ближе к точке их ввода в здание.</w:t>
      </w:r>
      <w:r w:rsidRPr="00F17358">
        <w:rPr>
          <w:rFonts w:ascii="Helvetica" w:eastAsia="Times New Roman" w:hAnsi="Helvetica" w:cs="Helvetica"/>
          <w:color w:val="000000"/>
          <w:sz w:val="19"/>
        </w:rPr>
        <w:t> </w:t>
      </w:r>
    </w:p>
    <w:p w:rsidR="00293492" w:rsidRDefault="00293492" w:rsidP="00293492">
      <w:pPr>
        <w:rPr>
          <w:b/>
          <w:sz w:val="24"/>
          <w:szCs w:val="24"/>
        </w:rPr>
      </w:pPr>
      <w:r w:rsidRPr="00F17358">
        <w:rPr>
          <w:rFonts w:ascii="Helvetica" w:eastAsia="Times New Roman" w:hAnsi="Helvetica" w:cs="Helvetica"/>
          <w:color w:val="000000"/>
          <w:sz w:val="19"/>
          <w:szCs w:val="19"/>
        </w:rPr>
        <w:t>Для соединения с основной системой уравнивания потенциалов все указанные части должны быть присоединены к главной заземляющей шине (1.7.119-1.7.120) при помощи проводников системы уравнивания потенциалов</w:t>
      </w:r>
    </w:p>
    <w:p w:rsidR="00293492" w:rsidRDefault="00293492" w:rsidP="002934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4.Изучить по схеме </w:t>
      </w:r>
      <w:r w:rsidR="004279D4">
        <w:rPr>
          <w:b/>
          <w:sz w:val="24"/>
          <w:szCs w:val="24"/>
        </w:rPr>
        <w:t xml:space="preserve">подключение различных элементов в зданиях для обеспечения </w:t>
      </w:r>
      <w:proofErr w:type="spellStart"/>
      <w:r w:rsidR="004279D4">
        <w:rPr>
          <w:b/>
          <w:sz w:val="24"/>
          <w:szCs w:val="24"/>
        </w:rPr>
        <w:t>электробезопасности</w:t>
      </w:r>
      <w:proofErr w:type="spellEnd"/>
      <w:r w:rsidR="00A20CA3">
        <w:rPr>
          <w:b/>
          <w:sz w:val="24"/>
          <w:szCs w:val="24"/>
        </w:rPr>
        <w:t>.</w:t>
      </w:r>
    </w:p>
    <w:p w:rsidR="00293492" w:rsidRDefault="00293492" w:rsidP="00293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5.С</w:t>
      </w:r>
      <w:r w:rsidR="004279D4">
        <w:rPr>
          <w:b/>
          <w:sz w:val="24"/>
          <w:szCs w:val="24"/>
        </w:rPr>
        <w:t xml:space="preserve">оставить перечень </w:t>
      </w:r>
      <w:r>
        <w:rPr>
          <w:b/>
          <w:sz w:val="24"/>
          <w:szCs w:val="24"/>
        </w:rPr>
        <w:t xml:space="preserve"> элементов, расположив таблицу над основной надписью.</w:t>
      </w:r>
    </w:p>
    <w:p w:rsidR="00A20CA3" w:rsidRDefault="00A20CA3" w:rsidP="002934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Задание выполнить в ручной или машинной г</w:t>
      </w:r>
      <w:r w:rsidR="00770F67">
        <w:rPr>
          <w:b/>
          <w:sz w:val="24"/>
          <w:szCs w:val="24"/>
        </w:rPr>
        <w:t xml:space="preserve">рафике, представить на проверку по электронной почте </w:t>
      </w:r>
      <w:hyperlink r:id="rId5" w:history="1">
        <w:r w:rsidR="00770F67" w:rsidRPr="006E6AE3">
          <w:rPr>
            <w:rStyle w:val="a5"/>
            <w:b/>
            <w:lang w:val="en-US"/>
          </w:rPr>
          <w:t>byakovnickolai</w:t>
        </w:r>
        <w:r w:rsidR="00770F67" w:rsidRPr="006E6AE3">
          <w:rPr>
            <w:rStyle w:val="a5"/>
            <w:b/>
          </w:rPr>
          <w:t>@</w:t>
        </w:r>
        <w:r w:rsidR="00770F67" w:rsidRPr="006E6AE3">
          <w:rPr>
            <w:rStyle w:val="a5"/>
            <w:b/>
            <w:lang w:val="en-US"/>
          </w:rPr>
          <w:t>yandex</w:t>
        </w:r>
        <w:r w:rsidR="00770F67" w:rsidRPr="006E6AE3">
          <w:rPr>
            <w:rStyle w:val="a5"/>
            <w:b/>
          </w:rPr>
          <w:t>.</w:t>
        </w:r>
        <w:r w:rsidR="00770F67" w:rsidRPr="006E6AE3">
          <w:rPr>
            <w:rStyle w:val="a5"/>
            <w:b/>
            <w:lang w:val="en-US"/>
          </w:rPr>
          <w:t>ru</w:t>
        </w:r>
      </w:hyperlink>
    </w:p>
    <w:p w:rsidR="00293492" w:rsidRDefault="00293492" w:rsidP="00293492">
      <w:pPr>
        <w:rPr>
          <w:b/>
          <w:sz w:val="24"/>
          <w:szCs w:val="24"/>
        </w:rPr>
      </w:pPr>
    </w:p>
    <w:p w:rsidR="00597E71" w:rsidRDefault="00597E71"/>
    <w:sectPr w:rsidR="00597E71" w:rsidSect="00293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3492"/>
    <w:rsid w:val="00293492"/>
    <w:rsid w:val="004279D4"/>
    <w:rsid w:val="004B0ADA"/>
    <w:rsid w:val="00597E71"/>
    <w:rsid w:val="00770F67"/>
    <w:rsid w:val="00A2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0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akovnickolai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4</cp:revision>
  <dcterms:created xsi:type="dcterms:W3CDTF">2020-05-06T08:17:00Z</dcterms:created>
  <dcterms:modified xsi:type="dcterms:W3CDTF">2020-05-06T08:47:00Z</dcterms:modified>
</cp:coreProperties>
</file>